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53"/>
      </w:pPr>
      <w:r>
        <w:rPr>
          <w:rFonts w:ascii="Helvetica" w:hAnsi="Helvetica" w:cs="Helvetica"/>
          <w:sz w:val="53"/>
          <w:sz-cs w:val="53"/>
          <w:b/>
          <w:spacing w:val="0"/>
          <w:color w:val="141414"/>
        </w:rPr>
        <w:t xml:space="preserve">Scrisoarea de trăsură CMR — ghid de completare</w:t>
      </w:r>
    </w:p>
    <w:p>
      <w:pPr>
        <w:spacing w:after="266"/>
      </w:pPr>
      <w:r>
        <w:rPr>
          <w:rFonts w:ascii="Helvetica" w:hAnsi="Helvetica" w:cs="Helvetica"/>
          <w:sz w:val="26"/>
          <w:sz-cs w:val="26"/>
          <w:spacing w:val="0"/>
          <w:color w:val="434343"/>
        </w:rPr>
        <w:t xml:space="preserve">Structura celor 24 de casete, cine le completează și ce se trece în fiecare.</w:t>
        <w:br/>
        <w:t xml:space="preserve">Material informativ pregătit de CargoTrack — cargotrack.ro</w:t>
      </w:r>
    </w:p>
    <w:p>
      <w:pPr/>
      <w:r>
        <w:rPr>
          <w:rFonts w:ascii="Helvetica" w:hAnsi="Helvetica" w:cs="Helvetica"/>
          <w:sz w:val="29"/>
          <w:sz-cs w:val="29"/>
          <w:spacing w:val="0"/>
          <w:color w:val="6D6D6D"/>
        </w:rPr>
        <w:t xml:space="preserve"/>
      </w:r>
    </w:p>
    <w:p>
      <w:pPr>
        <w:spacing w:after="287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Înainte de a completa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Scrisoarea CMR nu se descarcă și nu se printează.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Se folosește în seturi tipizate, autocopiative și numerotate, procurate de la asociațiile profesionale sau de la tipografii autorizate. Documentul de față este un ghid de completare, nu un formular utilizabil.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Se întocmește în trei exemplare originale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, semnate de expeditor și de transportator (art. 5 din Convenția CMR). Primul exemplar rămâne expeditorului, al doilea însoțește marfa, al treilea rămâne transportatorului.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Se completează cu pix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, apăsat, astfel încât textul să se transfere pe toate exemplarele. Nu se corectează cu pastă corectoare — o eroare se taie cu o linie, se scrie corect alături și se contrasemnează.</w:t>
      </w:r>
    </w:p>
    <w:p>
      <w:pPr>
        <w:spacing w:after="287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Cele 24 de casete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Nr.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Casetă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Cine completează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Ce se trece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Denumirea completă, adresa și țara firmei care predă marfa.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Destinatar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Denumirea, adresa și țara celui căruia i se livrează marfa.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3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Locul de livrare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Adresa exactă de descărcare și țara. Nu sediul social, ci punctul fizic de livrare.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4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Locul și data încărcării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Adresa de încărcare și data la care marfa a fost preluată.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5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Documente anexate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Factura, packing list, certificate sanitare, documente vamale, autorizații.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6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Mărci și numere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Marcajele coletelor sau ale paleților, numerele de identificare.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7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Număr de colete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Câte colete, paleți sau unități de încărcătură.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8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Mod de ambalare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Paleți, cutii, baxuri, saci, vrac, cisternă.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9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Natura mărfii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Denumirea mărfii. Pentru ADR, denumirea oficială de transport și numărul UN.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10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Cod statistic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Codul tarifar / NC al mărfii, când este cerut.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11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Greutate brută (kg)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Greutatea brută în kilograme. </w:t>
      </w:r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Baza de calcul a despăgubirii în caz de pierdere.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/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12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Volum (m</w:t>
      </w:r>
      <w:r>
        <w:rPr>
          <w:rFonts w:ascii="Helvetica" w:hAnsi="Helvetica" w:cs="Helvetica"/>
          <w:sz w:val="22"/>
          <w:sz-cs w:val="22"/>
          <w:vertAlign w:val="superscript"/>
          <w:spacing w:val="0"/>
          <w:color w:val="141414"/>
        </w:rPr>
        <w:t xml:space="preserve">3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)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Volumul mărfii, unde se aplică.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13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Instrucțiuni 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Instrucțiuni vamale, temperatură, condiții speciale de manipulare.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14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Prescripții de francare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Cine suportă costul transportului: franco sau nefranco.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15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Rambursare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Suma de încasat la livrare, dacă este cazul.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16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Denumirea, adresa și țara firmei de transport.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17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Transportatori succesivi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Se completează doar dacă transportul este preluat pe parcurs de alt transportator.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18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Rezervele transportatorului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Caseta cea mai importantă.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 Observații la încărcare: ambalaj deteriorat, colete lipsă, marfă neverificabilă. Necompletată, se prezumă că marfa a fost preluată în stare bună.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19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Convenții speciale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Ambele părți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Înțelegeri particulare: termen de livrare, valoare declarată, interes special la livrare.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20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 plată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Preț transport, reduceri, sold, suplimente, alte cheltuieli.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21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Întocmită la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Localitatea și data întocmirii scrisorii de trăsură.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22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Semnătura expeditorului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Expeditor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Semnătura și ștampila expeditorului.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23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Semnătura transportatorului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Transportator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Semnătura și ștampila transportatorului, plus numărul de înmatriculare al vehiculului.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24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Recepția mărfii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Destinatar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Data, ora, semnătura și ștampila la descărcare. Aici se scriu rezervele destinatarului.</w:t>
      </w:r>
    </w:p>
    <w:p>
      <w:pPr>
        <w:spacing w:after="287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Cinci greșeli care costă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1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Caseta 18 lăsată goală când marfa are probleme.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Fără rezerve scrise la încărcare, transportatorul răspunde pentru o marfă pe care a preluat-o deja deteriorată.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2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Greutatea brută aproximată.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Caseta 11 este baza de calcul a despăgubirii. O greutate greșită afectează direct suma recuperabilă.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3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Caseta 24 semnată fără verificare.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Destinatarul care semnează curat renunță practic la reclamațiile pentru avarii aparente.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4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Adresa de livrare confundată cu sediul social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în caseta 3, care duce la livrări la adresa greșită.</w:t>
      </w:r>
    </w:p>
    <w:p>
      <w:pPr>
        <w:ind w:left="720" w:first-line="-720"/>
      </w:pPr>
      <w:r>
        <w:rPr>
          <w:rFonts w:ascii="Helvetica" w:hAnsi="Helvetica" w:cs="Helvetica"/>
          <w:sz w:val="29"/>
          <w:sz-cs w:val="29"/>
          <w:b/>
          <w:color w:val="141414"/>
        </w:rPr>
        <w:t xml:space="preserve"/>
        <w:tab/>
        <w:t xml:space="preserve">5</w:t>
        <w:tab/>
        <w:t xml:space="preserve"/>
      </w:r>
      <w:r>
        <w:rPr>
          <w:rFonts w:ascii="Helvetica" w:hAnsi="Helvetica" w:cs="Helvetica"/>
          <w:sz w:val="29"/>
          <w:sz-cs w:val="29"/>
          <w:b/>
          <w:spacing w:val="0"/>
          <w:color w:val="141414"/>
        </w:rPr>
        <w:t xml:space="preserve">Exemplarul transportatorului nepăstrat.</w:t>
      </w: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 Fără el nu se poate dovedi executarea transportului și nu se poate încasa cursa.</w:t>
      </w:r>
    </w:p>
    <w:p>
      <w:pPr>
        <w:spacing w:after="287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Termene de reținut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Situație</w:t>
      </w:r>
    </w:p>
    <w:p>
      <w:pPr/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Termen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Avarii sau pierderi </w:t>
      </w:r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aparente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/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Rezerve formulate cel mai târziu în momentul eliberării mărfii (art. 30)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Avarii sau pierderi </w:t>
      </w:r>
      <w:r>
        <w:rPr>
          <w:rFonts w:ascii="Helvetica" w:hAnsi="Helvetica" w:cs="Helvetica"/>
          <w:sz w:val="26"/>
          <w:sz-cs w:val="26"/>
          <w:b/>
          <w:spacing w:val="0"/>
          <w:color w:val="141414"/>
        </w:rPr>
        <w:t xml:space="preserve">neaparente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/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7 zile de la eliberare, fără duminici și sărbători legale (art. 30)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Prescripția acțiunilor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1 an; 3 ani în caz de dol sau culpă echivalentă (art. 32)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Limita de despăgubire</w:t>
      </w:r>
    </w:p>
    <w:p>
      <w:pPr/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8,33 unități de cont (DST) pe kilogram de greutate brută lipsă</w:t>
      </w:r>
    </w:p>
    <w:p>
      <w:pPr/>
      <w:r>
        <w:rPr>
          <w:rFonts w:ascii="Helvetica" w:hAnsi="Helvetica" w:cs="Helvetica"/>
          <w:sz w:val="29"/>
          <w:sz-cs w:val="29"/>
          <w:spacing w:val="0"/>
          <w:color w:val="6D6D6D"/>
        </w:rPr>
        <w:t xml:space="preserve"/>
      </w:r>
    </w:p>
    <w:p>
      <w:pPr>
        <w:spacing w:after="240"/>
      </w:pPr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Temei legal: Convenția referitoare la contractul de transport internațional de mărfuri pe șosele (CMR), Geneva, 19 mai 1956, la care România a aderat prin Decretul nr. 451/1972, astfel cum a fost modificată prin Protocolul din 5 iulie 1978.</w:t>
        <w:br/>
        <w:t xml:space="preserve">Document informativ. Nu înlocuiește consultanța juridică și nu constituie formular oficial. Verificați întotdeauna cerințele specifice ale contractului de transport și ale expeditorului.</w:t>
        <w:br/>
        <w:t xml:space="preserve">© CargoTrack — cargotrack.ro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